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000" w:type="pct"/>
        <w:jc w:val="center"/>
        <w:tblCellSpacing w:w="15" w:type="dxa"/>
        <w:tblCellMar>
          <w:left w:w="0" w:type="dxa"/>
          <w:right w:w="0" w:type="dxa"/>
        </w:tblCellMar>
        <w:tblLook w:val="04A0"/>
      </w:tblPr>
      <w:tblGrid>
        <w:gridCol w:w="7536"/>
      </w:tblGrid>
      <w:tr w:rsidR="009D25D4" w:rsidRPr="009D25D4" w:rsidTr="009D25D4">
        <w:trPr>
          <w:tblCellSpacing w:w="15" w:type="dxa"/>
          <w:jc w:val="center"/>
        </w:trPr>
        <w:tc>
          <w:tcPr>
            <w:tcW w:w="0" w:type="auto"/>
            <w:vAlign w:val="center"/>
            <w:hideMark/>
          </w:tcPr>
          <w:p w:rsidR="009D25D4" w:rsidRPr="009D25D4" w:rsidRDefault="009D25D4" w:rsidP="009D25D4">
            <w:pPr>
              <w:spacing w:before="100" w:beforeAutospacing="1" w:after="100" w:afterAutospacing="1" w:line="240" w:lineRule="auto"/>
              <w:rPr>
                <w:rFonts w:eastAsia="Times New Roman" w:cs="Arial"/>
                <w:color w:val="000000"/>
                <w:sz w:val="28"/>
                <w:szCs w:val="28"/>
              </w:rPr>
            </w:pPr>
            <w:r w:rsidRPr="009D25D4">
              <w:rPr>
                <w:rFonts w:eastAsia="Times New Roman" w:cs="Arial"/>
                <w:color w:val="000000"/>
                <w:sz w:val="28"/>
                <w:szCs w:val="28"/>
              </w:rPr>
              <w:t>Self-Monitor and Graph Results to Increase Writing Fluency </w:t>
            </w:r>
            <w:r w:rsidRPr="009D25D4">
              <w:rPr>
                <w:rFonts w:eastAsia="Times New Roman" w:cs="Times New Roman"/>
                <w:color w:val="000000"/>
                <w:sz w:val="28"/>
                <w:szCs w:val="28"/>
              </w:rPr>
              <w:t xml:space="preserve"> </w:t>
            </w:r>
            <w:r w:rsidRPr="009D25D4">
              <w:rPr>
                <w:rFonts w:eastAsia="Times New Roman" w:cs="Arial"/>
                <w:i/>
                <w:iCs/>
                <w:color w:val="000000"/>
                <w:sz w:val="28"/>
                <w:szCs w:val="28"/>
              </w:rPr>
              <w:t>(</w:t>
            </w:r>
            <w:proofErr w:type="spellStart"/>
            <w:r w:rsidRPr="009D25D4">
              <w:rPr>
                <w:rFonts w:eastAsia="Times New Roman" w:cs="Arial"/>
                <w:i/>
                <w:iCs/>
                <w:color w:val="000000"/>
                <w:sz w:val="28"/>
                <w:szCs w:val="28"/>
              </w:rPr>
              <w:t>Rathvon</w:t>
            </w:r>
            <w:proofErr w:type="spellEnd"/>
            <w:r w:rsidRPr="009D25D4">
              <w:rPr>
                <w:rFonts w:eastAsia="Times New Roman" w:cs="Arial"/>
                <w:i/>
                <w:iCs/>
                <w:color w:val="000000"/>
                <w:sz w:val="28"/>
                <w:szCs w:val="28"/>
              </w:rPr>
              <w:t>, 1999)</w:t>
            </w:r>
            <w:r w:rsidRPr="009D25D4">
              <w:rPr>
                <w:rFonts w:eastAsia="Times New Roman" w:cs="Arial"/>
                <w:color w:val="000000"/>
                <w:sz w:val="28"/>
                <w:szCs w:val="28"/>
              </w:rPr>
              <w:t xml:space="preserve"> </w:t>
            </w:r>
          </w:p>
          <w:p w:rsidR="009D25D4" w:rsidRPr="009D25D4" w:rsidRDefault="009D25D4" w:rsidP="009D25D4">
            <w:pPr>
              <w:spacing w:before="100" w:beforeAutospacing="1" w:after="100" w:afterAutospacing="1" w:line="240" w:lineRule="auto"/>
              <w:rPr>
                <w:rFonts w:eastAsia="Times New Roman" w:cs="Arial"/>
                <w:color w:val="000000"/>
                <w:sz w:val="20"/>
                <w:szCs w:val="20"/>
              </w:rPr>
            </w:pPr>
            <w:r w:rsidRPr="009D25D4">
              <w:rPr>
                <w:rFonts w:eastAsia="Times New Roman" w:cs="Arial"/>
                <w:color w:val="000000"/>
                <w:sz w:val="20"/>
                <w:szCs w:val="20"/>
              </w:rPr>
              <w:t xml:space="preserve">Students gain motivation to write through daily monitoring and charting of their own and </w:t>
            </w:r>
            <w:proofErr w:type="spellStart"/>
            <w:r w:rsidRPr="009D25D4">
              <w:rPr>
                <w:rFonts w:eastAsia="Times New Roman" w:cs="Arial"/>
                <w:color w:val="000000"/>
                <w:sz w:val="20"/>
                <w:szCs w:val="20"/>
              </w:rPr>
              <w:t>classwide</w:t>
            </w:r>
            <w:proofErr w:type="spellEnd"/>
            <w:r w:rsidRPr="009D25D4">
              <w:rPr>
                <w:rFonts w:eastAsia="Times New Roman" w:cs="Arial"/>
                <w:color w:val="000000"/>
                <w:sz w:val="20"/>
                <w:szCs w:val="20"/>
              </w:rPr>
              <w:t xml:space="preserve"> rates of writing fluency. </w:t>
            </w:r>
          </w:p>
          <w:p w:rsidR="009D25D4" w:rsidRPr="009D25D4" w:rsidRDefault="009D25D4" w:rsidP="009D25D4">
            <w:pPr>
              <w:spacing w:before="100" w:beforeAutospacing="1" w:after="100" w:afterAutospacing="1" w:line="240" w:lineRule="auto"/>
              <w:rPr>
                <w:rFonts w:eastAsia="Times New Roman" w:cs="Arial"/>
                <w:color w:val="000000"/>
                <w:sz w:val="20"/>
                <w:szCs w:val="20"/>
              </w:rPr>
            </w:pPr>
            <w:r w:rsidRPr="009D25D4">
              <w:rPr>
                <w:rFonts w:eastAsia="Times New Roman" w:cs="Arial"/>
                <w:color w:val="000000"/>
                <w:sz w:val="20"/>
                <w:szCs w:val="20"/>
              </w:rPr>
              <w:t>At least several times per week, assign your students timed periods of ‘</w:t>
            </w:r>
            <w:proofErr w:type="spellStart"/>
            <w:r w:rsidRPr="009D25D4">
              <w:rPr>
                <w:rFonts w:eastAsia="Times New Roman" w:cs="Arial"/>
                <w:color w:val="000000"/>
                <w:sz w:val="20"/>
                <w:szCs w:val="20"/>
              </w:rPr>
              <w:t>freewriting</w:t>
            </w:r>
            <w:proofErr w:type="spellEnd"/>
            <w:r w:rsidRPr="009D25D4">
              <w:rPr>
                <w:rFonts w:eastAsia="Times New Roman" w:cs="Arial"/>
                <w:color w:val="000000"/>
                <w:sz w:val="20"/>
                <w:szCs w:val="20"/>
              </w:rPr>
              <w:t xml:space="preserve">’ when they write in their personal journals. </w:t>
            </w:r>
            <w:proofErr w:type="spellStart"/>
            <w:r w:rsidRPr="009D25D4">
              <w:rPr>
                <w:rFonts w:eastAsia="Times New Roman" w:cs="Arial"/>
                <w:color w:val="000000"/>
                <w:sz w:val="20"/>
                <w:szCs w:val="20"/>
              </w:rPr>
              <w:t>Freewriting</w:t>
            </w:r>
            <w:proofErr w:type="spellEnd"/>
            <w:r w:rsidRPr="009D25D4">
              <w:rPr>
                <w:rFonts w:eastAsia="Times New Roman" w:cs="Arial"/>
                <w:color w:val="000000"/>
                <w:sz w:val="20"/>
                <w:szCs w:val="20"/>
              </w:rPr>
              <w:t xml:space="preserve"> periods all the same amount of time each day. After each </w:t>
            </w:r>
            <w:proofErr w:type="spellStart"/>
            <w:r w:rsidRPr="009D25D4">
              <w:rPr>
                <w:rFonts w:eastAsia="Times New Roman" w:cs="Arial"/>
                <w:color w:val="000000"/>
                <w:sz w:val="20"/>
                <w:szCs w:val="20"/>
              </w:rPr>
              <w:t>freewriting</w:t>
            </w:r>
            <w:proofErr w:type="spellEnd"/>
            <w:r w:rsidRPr="009D25D4">
              <w:rPr>
                <w:rFonts w:eastAsia="Times New Roman" w:cs="Arial"/>
                <w:color w:val="000000"/>
                <w:sz w:val="20"/>
                <w:szCs w:val="20"/>
              </w:rPr>
              <w:t xml:space="preserve"> period, direct each student to count up the number of words he or she has written in the daily journal entry (whether spelled correctly or not). Next, tell students to record their personal writing-fluency score in their journal and also chart the score on their own time-series graph for visual feedback. Then collect the day’s writing-fluency scores of all students in the class, sum those scores, and chart the results on a large time-series graph posted at the front of the room. At the start of each week, calculate that week’s goal of increasing total class words written by taking last week’s score and increasing by five percent. At the end of each week, review the class score and praise students if they have shown good effort.</w:t>
            </w:r>
          </w:p>
          <w:p w:rsidR="009D25D4" w:rsidRPr="009D25D4" w:rsidRDefault="009D25D4" w:rsidP="009D25D4">
            <w:pPr>
              <w:spacing w:before="100" w:beforeAutospacing="1" w:after="100" w:afterAutospacing="1" w:line="240" w:lineRule="auto"/>
              <w:rPr>
                <w:rFonts w:eastAsia="Times New Roman" w:cs="Arial"/>
                <w:color w:val="000000"/>
                <w:sz w:val="20"/>
                <w:szCs w:val="20"/>
              </w:rPr>
            </w:pPr>
            <w:r w:rsidRPr="009D25D4">
              <w:rPr>
                <w:rFonts w:eastAsia="Times New Roman" w:cs="Arial"/>
                <w:i/>
                <w:iCs/>
                <w:color w:val="000000"/>
                <w:sz w:val="20"/>
                <w:szCs w:val="20"/>
              </w:rPr>
              <w:t>References</w:t>
            </w:r>
          </w:p>
          <w:p w:rsidR="009D25D4" w:rsidRPr="009D25D4" w:rsidRDefault="009D25D4" w:rsidP="009D25D4">
            <w:pPr>
              <w:spacing w:before="100" w:beforeAutospacing="1" w:after="100" w:afterAutospacing="1" w:line="240" w:lineRule="auto"/>
              <w:rPr>
                <w:rFonts w:eastAsia="Times New Roman" w:cs="Arial"/>
                <w:color w:val="000000"/>
                <w:sz w:val="20"/>
                <w:szCs w:val="20"/>
              </w:rPr>
            </w:pPr>
            <w:proofErr w:type="spellStart"/>
            <w:r w:rsidRPr="009D25D4">
              <w:rPr>
                <w:rFonts w:eastAsia="Times New Roman" w:cs="Arial"/>
                <w:color w:val="000000"/>
                <w:sz w:val="20"/>
                <w:szCs w:val="20"/>
              </w:rPr>
              <w:t>Rathvon</w:t>
            </w:r>
            <w:proofErr w:type="spellEnd"/>
            <w:r w:rsidRPr="009D25D4">
              <w:rPr>
                <w:rFonts w:eastAsia="Times New Roman" w:cs="Arial"/>
                <w:color w:val="000000"/>
                <w:sz w:val="20"/>
                <w:szCs w:val="20"/>
              </w:rPr>
              <w:t>, N. (1999). Effective school interventions. New York: Guilford Press.</w:t>
            </w:r>
          </w:p>
          <w:p w:rsidR="009D25D4" w:rsidRPr="009D25D4" w:rsidRDefault="009D25D4" w:rsidP="009D25D4">
            <w:pPr>
              <w:spacing w:before="100" w:beforeAutospacing="1" w:after="100" w:afterAutospacing="1" w:line="240" w:lineRule="auto"/>
              <w:rPr>
                <w:rFonts w:eastAsia="Times New Roman" w:cs="Arial"/>
                <w:color w:val="000000"/>
                <w:sz w:val="20"/>
                <w:szCs w:val="20"/>
              </w:rPr>
            </w:pPr>
            <w:r w:rsidRPr="009D25D4">
              <w:rPr>
                <w:rFonts w:eastAsia="Times New Roman" w:cs="Arial"/>
                <w:color w:val="000000"/>
                <w:sz w:val="20"/>
                <w:szCs w:val="20"/>
              </w:rPr>
              <w:t>Copyright ©2009 Jim Wright</w:t>
            </w:r>
          </w:p>
        </w:tc>
      </w:tr>
    </w:tbl>
    <w:p w:rsidR="009D25D4" w:rsidRDefault="009D25D4" w:rsidP="009D25D4">
      <w:pPr>
        <w:spacing w:before="100" w:beforeAutospacing="1" w:after="100" w:afterAutospacing="1" w:line="240" w:lineRule="auto"/>
        <w:rPr>
          <w:rFonts w:eastAsia="Times New Roman" w:cs="Times New Roman"/>
          <w:color w:val="000000"/>
          <w:sz w:val="20"/>
          <w:szCs w:val="20"/>
        </w:rPr>
      </w:pPr>
      <w:r w:rsidRPr="009D25D4">
        <w:rPr>
          <w:rFonts w:eastAsia="Times New Roman" w:cs="Times New Roman"/>
          <w:color w:val="000000"/>
          <w:sz w:val="20"/>
          <w:szCs w:val="20"/>
        </w:rPr>
        <w:t> </w:t>
      </w: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9D25D4">
      <w:pPr>
        <w:spacing w:before="100" w:beforeAutospacing="1" w:after="100" w:afterAutospacing="1" w:line="240" w:lineRule="auto"/>
        <w:rPr>
          <w:rFonts w:eastAsia="Times New Roman" w:cs="Times New Roman"/>
          <w:color w:val="000000"/>
          <w:sz w:val="20"/>
          <w:szCs w:val="20"/>
        </w:rPr>
      </w:pPr>
    </w:p>
    <w:p w:rsidR="00D43074" w:rsidRDefault="00D43074" w:rsidP="00D43074">
      <w:pPr>
        <w:pStyle w:val="NormalWeb"/>
        <w:jc w:val="center"/>
        <w:rPr>
          <w:rFonts w:asciiTheme="minorHAnsi" w:hAnsiTheme="minorHAnsi"/>
        </w:rPr>
      </w:pPr>
      <w:r w:rsidRPr="00D43074">
        <w:rPr>
          <w:rFonts w:asciiTheme="minorHAnsi" w:hAnsiTheme="minorHAnsi" w:cs="Arial"/>
          <w:sz w:val="28"/>
          <w:szCs w:val="28"/>
        </w:rPr>
        <w:lastRenderedPageBreak/>
        <w:t xml:space="preserve">Spelling: Leverage the Power of Memory </w:t>
      </w:r>
      <w:proofErr w:type="gramStart"/>
      <w:r w:rsidRPr="00D43074">
        <w:rPr>
          <w:rFonts w:asciiTheme="minorHAnsi" w:hAnsiTheme="minorHAnsi" w:cs="Arial"/>
          <w:sz w:val="28"/>
          <w:szCs w:val="28"/>
        </w:rPr>
        <w:t>Through</w:t>
      </w:r>
      <w:proofErr w:type="gramEnd"/>
      <w:r w:rsidRPr="00D43074">
        <w:rPr>
          <w:rFonts w:asciiTheme="minorHAnsi" w:hAnsiTheme="minorHAnsi" w:cs="Arial"/>
          <w:sz w:val="28"/>
          <w:szCs w:val="28"/>
        </w:rPr>
        <w:t xml:space="preserve"> Cover-Copy-Compare </w:t>
      </w:r>
    </w:p>
    <w:p w:rsidR="00D43074" w:rsidRPr="00D43074" w:rsidRDefault="00D43074" w:rsidP="00D43074">
      <w:pPr>
        <w:pStyle w:val="NormalWeb"/>
        <w:jc w:val="center"/>
        <w:rPr>
          <w:rFonts w:asciiTheme="minorHAnsi" w:hAnsiTheme="minorHAnsi" w:cs="Arial"/>
          <w:sz w:val="36"/>
          <w:szCs w:val="36"/>
        </w:rPr>
      </w:pPr>
      <w:r w:rsidRPr="00D43074">
        <w:rPr>
          <w:rFonts w:asciiTheme="minorHAnsi" w:hAnsiTheme="minorHAnsi"/>
        </w:rPr>
        <w:t xml:space="preserve"> </w:t>
      </w:r>
      <w:r w:rsidRPr="00D43074">
        <w:rPr>
          <w:rFonts w:asciiTheme="minorHAnsi" w:hAnsiTheme="minorHAnsi" w:cs="Arial"/>
          <w:i/>
          <w:iCs/>
          <w:sz w:val="20"/>
          <w:szCs w:val="20"/>
        </w:rPr>
        <w:t xml:space="preserve">(Murphy, </w:t>
      </w:r>
      <w:proofErr w:type="spellStart"/>
      <w:r w:rsidRPr="00D43074">
        <w:rPr>
          <w:rFonts w:asciiTheme="minorHAnsi" w:hAnsiTheme="minorHAnsi" w:cs="Arial"/>
          <w:i/>
          <w:iCs/>
          <w:sz w:val="20"/>
          <w:szCs w:val="20"/>
        </w:rPr>
        <w:t>Hern</w:t>
      </w:r>
      <w:proofErr w:type="spellEnd"/>
      <w:r w:rsidRPr="00D43074">
        <w:rPr>
          <w:rFonts w:asciiTheme="minorHAnsi" w:hAnsiTheme="minorHAnsi" w:cs="Arial"/>
          <w:i/>
          <w:iCs/>
          <w:sz w:val="20"/>
          <w:szCs w:val="20"/>
        </w:rPr>
        <w:t>, Williams, &amp; McLaughlin, 1990)</w:t>
      </w:r>
    </w:p>
    <w:p w:rsidR="00D43074" w:rsidRPr="00D43074" w:rsidRDefault="00D43074" w:rsidP="00D43074">
      <w:pPr>
        <w:pStyle w:val="NormalWeb"/>
        <w:rPr>
          <w:rFonts w:asciiTheme="minorHAnsi" w:hAnsiTheme="minorHAnsi" w:cs="Arial"/>
          <w:sz w:val="20"/>
          <w:szCs w:val="20"/>
        </w:rPr>
      </w:pPr>
      <w:r w:rsidRPr="00D43074">
        <w:rPr>
          <w:rFonts w:asciiTheme="minorHAnsi" w:hAnsiTheme="minorHAnsi" w:cs="Arial"/>
          <w:sz w:val="20"/>
          <w:szCs w:val="20"/>
        </w:rPr>
        <w:t xml:space="preserve">Students increase their spelling knowledge by copying a spelling word from a correct model and then recopying the same word from memory. </w:t>
      </w:r>
    </w:p>
    <w:p w:rsidR="00D43074" w:rsidRPr="00D43074" w:rsidRDefault="00D43074" w:rsidP="00D43074">
      <w:pPr>
        <w:pStyle w:val="NormalWeb"/>
        <w:rPr>
          <w:rFonts w:asciiTheme="minorHAnsi" w:hAnsiTheme="minorHAnsi" w:cs="Arial"/>
          <w:sz w:val="20"/>
          <w:szCs w:val="20"/>
        </w:rPr>
      </w:pPr>
      <w:r w:rsidRPr="00D43074">
        <w:rPr>
          <w:rFonts w:asciiTheme="minorHAnsi" w:hAnsiTheme="minorHAnsi" w:cs="Arial"/>
          <w:sz w:val="20"/>
          <w:szCs w:val="20"/>
        </w:rPr>
        <w:t>Give students a list of 10-20 spelling words, an index card, and a blank sheet of paper. For each word on the spelling list, the student (1) copies the spelling list item onto a sheet of paper, (2) covers the newly copied word with the index card, (3) writes the spelling word again on the sheet (spelling it from memory), and (4) uncovers the copied word and checks to ensure that the word copied from memory is spelled correctly. If that word is spelled incorrectly, the student repeats the sequence above until the word copied from memory is spelled correctly--then moves to the next word on the spelling list.</w:t>
      </w:r>
    </w:p>
    <w:p w:rsidR="00D43074" w:rsidRPr="00D43074" w:rsidRDefault="00D43074" w:rsidP="00D43074">
      <w:pPr>
        <w:pStyle w:val="NormalWeb"/>
        <w:rPr>
          <w:rFonts w:asciiTheme="minorHAnsi" w:hAnsiTheme="minorHAnsi" w:cs="Arial"/>
          <w:sz w:val="20"/>
          <w:szCs w:val="20"/>
        </w:rPr>
      </w:pPr>
      <w:r w:rsidRPr="00D43074">
        <w:rPr>
          <w:rFonts w:asciiTheme="minorHAnsi" w:hAnsiTheme="minorHAnsi" w:cs="Arial"/>
          <w:i/>
          <w:iCs/>
          <w:sz w:val="20"/>
          <w:szCs w:val="20"/>
        </w:rPr>
        <w:t>References</w:t>
      </w:r>
    </w:p>
    <w:p w:rsidR="00D43074" w:rsidRPr="00D43074" w:rsidRDefault="00D43074" w:rsidP="00D43074">
      <w:pPr>
        <w:pStyle w:val="NormalWeb"/>
        <w:rPr>
          <w:rFonts w:asciiTheme="minorHAnsi" w:hAnsiTheme="minorHAnsi" w:cs="Arial"/>
          <w:sz w:val="20"/>
          <w:szCs w:val="20"/>
        </w:rPr>
      </w:pPr>
      <w:proofErr w:type="gramStart"/>
      <w:r w:rsidRPr="00D43074">
        <w:rPr>
          <w:rFonts w:asciiTheme="minorHAnsi" w:hAnsiTheme="minorHAnsi" w:cs="Arial"/>
          <w:sz w:val="20"/>
          <w:szCs w:val="20"/>
        </w:rPr>
        <w:t xml:space="preserve">Murphy, J., </w:t>
      </w:r>
      <w:proofErr w:type="spellStart"/>
      <w:r w:rsidRPr="00D43074">
        <w:rPr>
          <w:rFonts w:asciiTheme="minorHAnsi" w:hAnsiTheme="minorHAnsi" w:cs="Arial"/>
          <w:sz w:val="20"/>
          <w:szCs w:val="20"/>
        </w:rPr>
        <w:t>Hern</w:t>
      </w:r>
      <w:proofErr w:type="spellEnd"/>
      <w:r w:rsidRPr="00D43074">
        <w:rPr>
          <w:rFonts w:asciiTheme="minorHAnsi" w:hAnsiTheme="minorHAnsi" w:cs="Arial"/>
          <w:sz w:val="20"/>
          <w:szCs w:val="20"/>
        </w:rPr>
        <w:t>, C., Williams, R., &amp; McLaughlin, T. (1990).</w:t>
      </w:r>
      <w:proofErr w:type="gramEnd"/>
      <w:r w:rsidRPr="00D43074">
        <w:rPr>
          <w:rFonts w:asciiTheme="minorHAnsi" w:hAnsiTheme="minorHAnsi" w:cs="Arial"/>
          <w:sz w:val="20"/>
          <w:szCs w:val="20"/>
        </w:rPr>
        <w:t xml:space="preserve"> The effects of the copy, cover, and compare approach in increasing spelling accuracy with learning disabled students. Contemporary Educational Psychology, 15, 378-386.</w:t>
      </w:r>
    </w:p>
    <w:p w:rsidR="00D43074" w:rsidRPr="00D43074" w:rsidRDefault="00D43074" w:rsidP="00D43074">
      <w:pPr>
        <w:pStyle w:val="NormalWeb"/>
        <w:rPr>
          <w:rFonts w:asciiTheme="minorHAnsi" w:hAnsiTheme="minorHAnsi" w:cs="Arial"/>
          <w:sz w:val="20"/>
          <w:szCs w:val="20"/>
        </w:rPr>
      </w:pPr>
      <w:r w:rsidRPr="00D43074">
        <w:rPr>
          <w:rFonts w:asciiTheme="minorHAnsi" w:hAnsiTheme="minorHAnsi" w:cs="Arial"/>
          <w:sz w:val="20"/>
          <w:szCs w:val="20"/>
        </w:rPr>
        <w:t>Copyright ©2009 Jim Wright</w:t>
      </w:r>
    </w:p>
    <w:p w:rsidR="00D43074" w:rsidRPr="009D25D4" w:rsidRDefault="00D43074" w:rsidP="009D25D4">
      <w:pPr>
        <w:spacing w:before="100" w:beforeAutospacing="1" w:after="100" w:afterAutospacing="1" w:line="240" w:lineRule="auto"/>
        <w:rPr>
          <w:rFonts w:eastAsia="Times New Roman" w:cs="Times New Roman"/>
          <w:color w:val="000000"/>
          <w:sz w:val="20"/>
          <w:szCs w:val="20"/>
        </w:rPr>
      </w:pPr>
    </w:p>
    <w:p w:rsidR="00216CF5" w:rsidRDefault="00216CF5"/>
    <w:p w:rsidR="00435709" w:rsidRDefault="00435709"/>
    <w:sectPr w:rsidR="00435709" w:rsidSect="00216CF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5D4" w:rsidRDefault="009D25D4" w:rsidP="009D25D4">
      <w:pPr>
        <w:spacing w:after="0" w:line="240" w:lineRule="auto"/>
      </w:pPr>
      <w:r>
        <w:separator/>
      </w:r>
    </w:p>
  </w:endnote>
  <w:endnote w:type="continuationSeparator" w:id="0">
    <w:p w:rsidR="009D25D4" w:rsidRDefault="009D25D4" w:rsidP="009D25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5D4" w:rsidRDefault="009D25D4" w:rsidP="009D25D4">
      <w:pPr>
        <w:spacing w:after="0" w:line="240" w:lineRule="auto"/>
      </w:pPr>
      <w:r>
        <w:separator/>
      </w:r>
    </w:p>
  </w:footnote>
  <w:footnote w:type="continuationSeparator" w:id="0">
    <w:p w:rsidR="009D25D4" w:rsidRDefault="009D25D4" w:rsidP="009D25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87899"/>
      <w:placeholder>
        <w:docPart w:val="0D069371AFC240E09FEBF48022AFD945"/>
      </w:placeholder>
      <w:dataBinding w:prefixMappings="xmlns:ns0='http://schemas.openxmlformats.org/package/2006/metadata/core-properties' xmlns:ns1='http://purl.org/dc/elements/1.1/'" w:xpath="/ns0:coreProperties[1]/ns1:title[1]" w:storeItemID="{6C3C8BC8-F283-45AE-878A-BAB7291924A1}"/>
      <w:text/>
    </w:sdtPr>
    <w:sdtContent>
      <w:p w:rsidR="009D25D4" w:rsidRDefault="009D25D4">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Writing Interventions</w:t>
        </w:r>
      </w:p>
    </w:sdtContent>
  </w:sdt>
  <w:sdt>
    <w:sdtPr>
      <w:rPr>
        <w:color w:val="4F81BD" w:themeColor="accent1"/>
      </w:rPr>
      <w:alias w:val="Subtitle"/>
      <w:id w:val="77887903"/>
      <w:placeholder>
        <w:docPart w:val="1B8B20720D4E4205BCCE838539F4CC00"/>
      </w:placeholder>
      <w:dataBinding w:prefixMappings="xmlns:ns0='http://schemas.openxmlformats.org/package/2006/metadata/core-properties' xmlns:ns1='http://purl.org/dc/elements/1.1/'" w:xpath="/ns0:coreProperties[1]/ns1:subject[1]" w:storeItemID="{6C3C8BC8-F283-45AE-878A-BAB7291924A1}"/>
      <w:text/>
    </w:sdtPr>
    <w:sdtContent>
      <w:p w:rsidR="009D25D4" w:rsidRDefault="009D25D4">
        <w:pPr>
          <w:pStyle w:val="Header"/>
          <w:tabs>
            <w:tab w:val="left" w:pos="2580"/>
            <w:tab w:val="left" w:pos="2985"/>
          </w:tabs>
          <w:spacing w:after="120" w:line="276" w:lineRule="auto"/>
          <w:jc w:val="right"/>
          <w:rPr>
            <w:color w:val="4F81BD" w:themeColor="accent1"/>
          </w:rPr>
        </w:pPr>
        <w:r>
          <w:rPr>
            <w:color w:val="4F81BD" w:themeColor="accent1"/>
          </w:rPr>
          <w:t>AIMSWEB WCWS</w:t>
        </w:r>
      </w:p>
    </w:sdtContent>
  </w:sdt>
  <w:p w:rsidR="009D25D4" w:rsidRDefault="009D25D4" w:rsidP="009D25D4">
    <w:pPr>
      <w:pStyle w:val="Header"/>
      <w:pBdr>
        <w:bottom w:val="single" w:sz="4" w:space="1" w:color="A5A5A5" w:themeColor="background1" w:themeShade="A5"/>
      </w:pBdr>
      <w:tabs>
        <w:tab w:val="left" w:pos="2580"/>
        <w:tab w:val="left" w:pos="2985"/>
      </w:tabs>
      <w:spacing w:after="120" w:line="276" w:lineRule="auto"/>
      <w:jc w:val="center"/>
      <w:rPr>
        <w:color w:val="808080" w:themeColor="text1" w:themeTint="7F"/>
      </w:rPr>
    </w:pPr>
  </w:p>
  <w:p w:rsidR="009D25D4" w:rsidRDefault="009D25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D25D4"/>
    <w:rsid w:val="00216CF5"/>
    <w:rsid w:val="00435709"/>
    <w:rsid w:val="009D25D4"/>
    <w:rsid w:val="00D43074"/>
    <w:rsid w:val="00FE5C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C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25D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9D25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5D4"/>
  </w:style>
  <w:style w:type="paragraph" w:styleId="Footer">
    <w:name w:val="footer"/>
    <w:basedOn w:val="Normal"/>
    <w:link w:val="FooterChar"/>
    <w:uiPriority w:val="99"/>
    <w:semiHidden/>
    <w:unhideWhenUsed/>
    <w:rsid w:val="009D25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25D4"/>
  </w:style>
  <w:style w:type="paragraph" w:styleId="BalloonText">
    <w:name w:val="Balloon Text"/>
    <w:basedOn w:val="Normal"/>
    <w:link w:val="BalloonTextChar"/>
    <w:uiPriority w:val="99"/>
    <w:semiHidden/>
    <w:unhideWhenUsed/>
    <w:rsid w:val="009D25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5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86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069371AFC240E09FEBF48022AFD945"/>
        <w:category>
          <w:name w:val="General"/>
          <w:gallery w:val="placeholder"/>
        </w:category>
        <w:types>
          <w:type w:val="bbPlcHdr"/>
        </w:types>
        <w:behaviors>
          <w:behavior w:val="content"/>
        </w:behaviors>
        <w:guid w:val="{2AA0456A-EB64-413F-B224-42FB8DDFF4FD}"/>
      </w:docPartPr>
      <w:docPartBody>
        <w:p w:rsidR="004C5A40" w:rsidRDefault="00BE690E" w:rsidP="00BE690E">
          <w:pPr>
            <w:pStyle w:val="0D069371AFC240E09FEBF48022AFD945"/>
          </w:pPr>
          <w:r>
            <w:rPr>
              <w:b/>
              <w:bCs/>
              <w:color w:val="1F497D" w:themeColor="text2"/>
              <w:sz w:val="28"/>
              <w:szCs w:val="28"/>
            </w:rPr>
            <w:t>[Type the document title]</w:t>
          </w:r>
        </w:p>
      </w:docPartBody>
    </w:docPart>
    <w:docPart>
      <w:docPartPr>
        <w:name w:val="1B8B20720D4E4205BCCE838539F4CC00"/>
        <w:category>
          <w:name w:val="General"/>
          <w:gallery w:val="placeholder"/>
        </w:category>
        <w:types>
          <w:type w:val="bbPlcHdr"/>
        </w:types>
        <w:behaviors>
          <w:behavior w:val="content"/>
        </w:behaviors>
        <w:guid w:val="{C5B7EC4D-F61B-414E-AFDC-0A4297F0A2F2}"/>
      </w:docPartPr>
      <w:docPartBody>
        <w:p w:rsidR="004C5A40" w:rsidRDefault="00BE690E" w:rsidP="00BE690E">
          <w:pPr>
            <w:pStyle w:val="1B8B20720D4E4205BCCE838539F4CC00"/>
          </w:pPr>
          <w:r>
            <w:rPr>
              <w:color w:val="4F81BD" w:themeColor="accent1"/>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E690E"/>
    <w:rsid w:val="004C5A40"/>
    <w:rsid w:val="00BE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A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069371AFC240E09FEBF48022AFD945">
    <w:name w:val="0D069371AFC240E09FEBF48022AFD945"/>
    <w:rsid w:val="00BE690E"/>
  </w:style>
  <w:style w:type="paragraph" w:customStyle="1" w:styleId="1B8B20720D4E4205BCCE838539F4CC00">
    <w:name w:val="1B8B20720D4E4205BCCE838539F4CC00"/>
    <w:rsid w:val="00BE690E"/>
  </w:style>
  <w:style w:type="paragraph" w:customStyle="1" w:styleId="682629296A444E11B9CDE692C17EFF2E">
    <w:name w:val="682629296A444E11B9CDE692C17EFF2E"/>
    <w:rsid w:val="00BE69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2055</Characters>
  <Application>Microsoft Office Word</Application>
  <DocSecurity>0</DocSecurity>
  <Lines>17</Lines>
  <Paragraphs>4</Paragraphs>
  <ScaleCrop>false</ScaleCrop>
  <Company>Westlake City School District</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Interventions</dc:title>
  <dc:subject>AIMSWEB WCWS</dc:subject>
  <dc:creator>Authorized User</dc:creator>
  <cp:keywords/>
  <dc:description/>
  <cp:lastModifiedBy>Authorized User</cp:lastModifiedBy>
  <cp:revision>3</cp:revision>
  <dcterms:created xsi:type="dcterms:W3CDTF">2009-11-16T15:42:00Z</dcterms:created>
  <dcterms:modified xsi:type="dcterms:W3CDTF">2009-11-16T15:45:00Z</dcterms:modified>
</cp:coreProperties>
</file>